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400" w:after="360"/>
        <w:jc w:val="center"/>
      </w:pPr>
      <w:r>
        <w:t>INFORME ANUAL</w:t>
      </w:r>
    </w:p>
    <w:p>
      <w:pPr>
        <w:pStyle w:val="Title"/>
        <w:spacing w:before="1400" w:after="360"/>
        <w:jc w:val="center"/>
      </w:pPr>
      <w:r>
        <w:t>DE TRANSPARENCIA</w:t>
      </w:r>
    </w:p>
    <w:p>
      <w:pPr>
        <w:pStyle w:val="Title"/>
        <w:spacing w:before="1400" w:after="360"/>
        <w:jc w:val="center"/>
      </w:pPr>
      <w:r>
        <w:t>2025</w:t>
      </w:r>
    </w:p>
    <w:p>
      <w:pPr>
        <w:spacing w:after="360"/>
        <w:jc w:val="center"/>
      </w:pPr>
      <w:r>
        <w:rPr>
          <w:sz w:val="24"/>
        </w:rPr>
        <w:t>Asociación Canaria de Centros de Formación Profesional (ACEPRO)</w:t>
      </w:r>
    </w:p>
    <w:p>
      <w:pPr>
        <w:spacing w:after="360"/>
        <w:jc w:val="center"/>
      </w:pPr>
      <w:r>
        <w:t>Sobre el grado de aplicación de la Ley 12/2014, de 26 de diciembre, de transparencia y de acceso a la información pública</w:t>
      </w:r>
    </w:p>
    <w:p>
      <w:pPr>
        <w:spacing w:after="360"/>
        <w:jc w:val="center"/>
      </w:pPr>
      <w:r>
        <w:rPr>
          <w:sz w:val="24"/>
        </w:rPr>
        <w:t>Ejercicio evaluado: 1 de enero a 31 de diciembre de 2025</w:t>
      </w:r>
    </w:p>
    <w:p>
      <w:pPr>
        <w:spacing w:after="360"/>
        <w:jc w:val="center"/>
      </w:pPr>
      <w:r/>
      <w:hyperlink r:id="rId9">
        <w:r>
          <w:t>Portal de Transparencia de la entidad</w:t>
        </w:r>
      </w:hyperlink>
      <w:r/>
    </w:p>
    <w:p>
      <w:pPr>
        <w:spacing w:after="360"/>
        <w:jc w:val="center"/>
      </w:pPr>
      <w:r>
        <w:t>El informe distingue la información del ejercicio 2025 de las actualizaciones y mejoras incorporadas posteriormente al portal.</w:t>
      </w:r>
    </w:p>
    <w:p>
      <w:r>
        <w:br w:type="page"/>
      </w:r>
    </w:p>
    <w:p>
      <w:pPr>
        <w:pStyle w:val="Heading1"/>
      </w:pPr>
      <w:r>
        <w:t>1. Objeto y alcance del informe</w:t>
      </w:r>
    </w:p>
    <w:p>
      <w:pPr/>
      <w:r>
        <w:t>El presente informe recoge el grado de aplicación durante el ejercicio 2025 de los principios y obligaciones de transparencia y de acceso a la información pública aplicables a la entidad, tomando como marco de referencia la Ley 12/2014, de 26 de diciembre, de transparencia y de acceso a la información pública de Canarias.</w:t>
      </w:r>
    </w:p>
    <w:p>
      <w:pPr/>
      <w:r>
        <w:t>Resume la organización de la transparencia, la publicidad activa, el derecho de acceso, la contratación, los convenios, las subvenciones y las actuaciones de mejora. Se completa con la documentación facilitada y con la información disponible en el portal a fecha de revisión. La publicación posterior de datos de 2025 no implica que estuvieran publicados durante ese ejercicio.</w:t>
      </w:r>
    </w:p>
    <w:p>
      <w:pPr>
        <w:pStyle w:val="Heading1"/>
      </w:pPr>
      <w:r>
        <w:t>2. Identificación de la entidad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00"/>
        <w:gridCol w:w="7000"/>
      </w:tblGrid>
      <w:tr>
        <w:trPr>
          <w:cantSplit/>
        </w:trPr>
        <w:tc>
          <w:tcPr>
            <w:tcW w:type="dxa" w:w="29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Dato</w:t>
            </w:r>
          </w:p>
        </w:tc>
        <w:tc>
          <w:tcPr>
            <w:tcW w:type="dxa" w:w="70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Información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Entidad</w:t>
            </w:r>
          </w:p>
        </w:tc>
        <w:tc>
          <w:tcPr>
            <w:tcW w:type="dxa" w:w="70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Asociación Canaria de Centros de Formación Profesional (ACEPRO)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Ejercicio evaluado</w:t>
            </w:r>
          </w:p>
        </w:tc>
        <w:tc>
          <w:tcPr>
            <w:tcW w:type="dxa" w:w="70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2025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Responsable de Transparencia</w:t>
            </w:r>
          </w:p>
        </w:tc>
        <w:tc>
          <w:tcPr>
            <w:tcW w:type="dxa" w:w="70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Beatriz Salazar Hernández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Portal</w:t>
            </w:r>
          </w:p>
        </w:tc>
        <w:tc>
          <w:tcPr>
            <w:tcW w:type="dxa" w:w="7000"/>
          </w:tcPr>
          <w:p>
            <w:pPr>
              <w:spacing w:after="80" w:before="80"/>
            </w:pPr>
            <w:r/>
            <w:hyperlink r:id="rId9">
              <w:r>
                <w:t>Consultar portal de transparencia</w:t>
              </w:r>
            </w:hyperlink>
            <w:r/>
          </w:p>
        </w:tc>
      </w:tr>
    </w:tbl>
    <w:p>
      <w:pPr>
        <w:spacing w:after="20"/>
      </w:pPr>
    </w:p>
    <w:p>
      <w:pPr>
        <w:pStyle w:val="Heading1"/>
      </w:pPr>
      <w:r>
        <w:t>3. Organización y gestión de la transparencia</w:t>
      </w:r>
    </w:p>
    <w:p>
      <w:pPr/>
      <w:r>
        <w:t>La coordinación y seguimiento de las obligaciones de transparencia corresponde a Beatriz Salazar Hernández, persona responsable de la transparencia de la entidad. La información se publica a través del Portal de Transparencia de la organización.</w:t>
      </w:r>
    </w:p>
    <w:p>
      <w:pPr>
        <w:pStyle w:val="Heading1"/>
      </w:pPr>
      <w:r>
        <w:t>4. Publicidad activa</w:t>
      </w:r>
    </w:p>
    <w:p>
      <w:pPr/>
      <w:r>
        <w:t>El portal es el instrumento principal de publicidad activa. La información se organiza en materias: información institucional y organizativa; administradores y directivos; normativa; información económico-financiera; contratos y convenios; ayudas y subvenciones; servicios y procedimientos; acceso a la información pública y transparencia voluntaria.</w:t>
      </w:r>
    </w:p>
    <w:p>
      <w:pPr/>
      <w:r>
        <w:t>La revisión realizada para completar este informe incorpora las fichas de subvenciones de la programación 2025, el balance de situación y la cuenta de Pérdidas y Ganancias de 2025 y la información publicada sobre presidencia y retribuciones. Los documentos económicos se ofrecen en PDF, XLSX y ODS; las fichas de ayudas, en PDF, ODS y DOCX.</w:t>
      </w:r>
    </w:p>
    <w:p>
      <w:pPr>
        <w:pStyle w:val="Heading1"/>
      </w:pPr>
      <w:r>
        <w:t>5. Derecho de acceso a la información pública</w:t>
      </w:r>
    </w:p>
    <w:p>
      <w:pPr/>
      <w:r>
        <w:t>De acuerdo con la información recogida en el informe de partida, durante 2025 no se recibieron solicitudes de acceso a la información pública. Las solicitudes recibidas, estimadas, estimadas parcialmente, desestimadas, inadmitidas y pendientes al cierre fueron 0 en todas las categorías.</w:t>
      </w:r>
    </w:p>
    <w:p>
      <w:r>
        <w:br w:type="page"/>
      </w:r>
    </w:p>
    <w:p>
      <w:pPr>
        <w:pStyle w:val="Heading1"/>
      </w:pPr>
      <w:r>
        <w:t>6. Ayudas y subvenciones</w:t>
      </w:r>
    </w:p>
    <w:p>
      <w:pPr/>
      <w:r>
        <w:t>Programación o convocatoria identificada como 2025 en el portal. Se recogen los importes y finalidades publicados. Estas cantidades corresponden a las fichas de ayudas; no constituyen una relación de cobros realizados en 2025 ni equivalen a los ingresos reconocidos en la contabilidad del ejercicio.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00"/>
        <w:gridCol w:w="1900"/>
        <w:gridCol w:w="3200"/>
      </w:tblGrid>
      <w:tr>
        <w:trPr>
          <w:cantSplit/>
        </w:trPr>
        <w:tc>
          <w:tcPr>
            <w:tcW w:type="dxa" w:w="48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Administración y finalidad</w:t>
            </w:r>
          </w:p>
        </w:tc>
        <w:tc>
          <w:tcPr>
            <w:tcW w:type="dxa" w:w="19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Importe</w:t>
            </w:r>
          </w:p>
        </w:tc>
        <w:tc>
          <w:tcPr>
            <w:tcW w:type="dxa" w:w="32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Referencia temporal</w:t>
            </w:r>
          </w:p>
        </w:tc>
      </w:tr>
      <w:tr>
        <w:trPr>
          <w:cantSplit/>
        </w:trPr>
        <w:tc>
          <w:tcPr>
            <w:tcW w:type="dxa" w:w="4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Servicio Canario de Empleo Acciones formativas dirigidas prioritariamente a personas desempleadas.</w:t>
            </w:r>
          </w:p>
        </w:tc>
        <w:tc>
          <w:tcPr>
            <w:tcW w:type="dxa" w:w="1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1.197.808,20 €</w:t>
            </w:r>
          </w:p>
        </w:tc>
        <w:tc>
          <w:tcPr>
            <w:tcW w:type="dxa" w:w="32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Convocatoria: 30/07/2025. BOC 157, 08/08/2025.</w:t>
            </w:r>
          </w:p>
        </w:tc>
      </w:tr>
      <w:tr>
        <w:trPr>
          <w:cantSplit/>
        </w:trPr>
        <w:tc>
          <w:tcPr>
            <w:tcW w:type="dxa" w:w="4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Servicio Canario de Empleo Planes de formación para personas ocupadas. Todos los sectores productivos.</w:t>
            </w:r>
          </w:p>
        </w:tc>
        <w:tc>
          <w:tcPr>
            <w:tcW w:type="dxa" w:w="1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547.927,68 €</w:t>
            </w:r>
          </w:p>
        </w:tc>
        <w:tc>
          <w:tcPr>
            <w:tcW w:type="dxa" w:w="32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Convocatoria: 14/11/2025. BOC 230, 19/11/2025.</w:t>
            </w:r>
          </w:p>
        </w:tc>
      </w:tr>
      <w:tr>
        <w:trPr>
          <w:cantSplit/>
        </w:trPr>
        <w:tc>
          <w:tcPr>
            <w:tcW w:type="dxa" w:w="4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Servicio Canario de Empleo Planes de formación para personas ocupadas. Sector hostelería y turismo.</w:t>
            </w:r>
          </w:p>
        </w:tc>
        <w:tc>
          <w:tcPr>
            <w:tcW w:type="dxa" w:w="1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190.384,87 €</w:t>
            </w:r>
          </w:p>
        </w:tc>
        <w:tc>
          <w:tcPr>
            <w:tcW w:type="dxa" w:w="32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Convocatoria: 14/11/2025. BOC 230, 19/11/2025.</w:t>
            </w:r>
          </w:p>
        </w:tc>
      </w:tr>
      <w:tr>
        <w:trPr>
          <w:cantSplit/>
        </w:trPr>
        <w:tc>
          <w:tcPr>
            <w:tcW w:type="dxa" w:w="4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SEPE Programas de formación de ámbito estatal para personas ocupadas. Todos los sectores productivos.</w:t>
            </w:r>
          </w:p>
        </w:tc>
        <w:tc>
          <w:tcPr>
            <w:tcW w:type="dxa" w:w="1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368.412,65 €</w:t>
            </w:r>
          </w:p>
        </w:tc>
        <w:tc>
          <w:tcPr>
            <w:tcW w:type="dxa" w:w="32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Modificación de convocatoria: 24/09/2025. BOE 236, 01/10/2025.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7. Contratos con Administraciones Públicas</w:t>
      </w:r>
    </w:p>
    <w:p>
      <w:pPr/>
      <w:r>
        <w:t>Durante el ejercicio 2025 la entidad no formalizó contratos con Administraciones Públicas. Según el informe de partida, tampoco se produjeron modificaciones, desistimientos, renuncias ni resoluciones de contratos públicos.</w:t>
      </w:r>
    </w:p>
    <w:p>
      <w:pPr>
        <w:pStyle w:val="Heading1"/>
      </w:pPr>
      <w:r>
        <w:t>8. Convenios con Administraciones Públicas</w:t>
      </w:r>
    </w:p>
    <w:p>
      <w:pPr/>
      <w:r>
        <w:t>Durante el ejercicio 2025 la entidad no suscribió convenios con Administraciones Públicas. Según el informe de partida, tampoco se produjeron modificaciones, adendas o alteraciones de convenios durante dicho ejercicio.</w:t>
      </w:r>
    </w:p>
    <w:p>
      <w:pPr/>
      <w:r>
        <w:t xml:space="preserve">El portal publica para contratos y convenios: «Años: 2023, 2024, 2025, 2026. No se han realizado contratos ni convenios con la Administración Pública». El presente informe circunscribe la evaluación al ejercicio 2025. Fuente: </w:t>
      </w:r>
      <w:hyperlink r:id="rId10">
        <w:r>
          <w:t>Contratos y</w:t>
        </w:r>
      </w:hyperlink>
      <w:r>
        <w:t xml:space="preserve"> Convenios.</w:t>
      </w:r>
    </w:p>
    <w:p>
      <w:pPr>
        <w:pStyle w:val="Heading1"/>
      </w:pPr>
      <w:r>
        <w:t>9. Información económico-financiera</w:t>
      </w:r>
    </w:p>
    <w:p>
      <w:pPr/>
      <w:r>
        <w:t>Se incorporan el balance de situación y la cuenta de Pérdidas y Ganancias correspondientes a enero-diciembre de 2025, elaborados con fecha 25/09/2026 y publicados en PDF, XLSX y ODS. Las cifras se transcriben de los archivos facilitados, sin modificar sus valores contables.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00"/>
        <w:gridCol w:w="2600"/>
      </w:tblGrid>
      <w:tr>
        <w:trPr>
          <w:cantSplit/>
        </w:trPr>
        <w:tc>
          <w:tcPr>
            <w:tcW w:type="dxa" w:w="73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Magnitud</w:t>
            </w:r>
          </w:p>
        </w:tc>
        <w:tc>
          <w:tcPr>
            <w:tcW w:type="dxa" w:w="26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Importe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Total activo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3.100.182,45 €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Patrimonio neto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-187.693,08 €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Pasivo corriente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3.287.875,53 €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Total patrimonio neto y pasivo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3.100.182,45 €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Subvenciones de explotación incorporadas al resultado (PYG)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2.064.900,80 €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Resultado del ejercicio según Pérdidas y Ganancias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-23.969,72 €</w:t>
            </w:r>
          </w:p>
        </w:tc>
      </w:tr>
    </w:tbl>
    <w:p>
      <w:pPr>
        <w:spacing w:after="20"/>
      </w:pPr>
    </w:p>
    <w:p>
      <w:pPr/>
      <w:r>
        <w:t>La documentación disponible para este apartado comprende esos dos estados contables.</w:t>
      </w:r>
    </w:p>
    <w:p>
      <w:pPr/>
      <w:r>
        <w:t xml:space="preserve">Fuente y descargas: </w:t>
      </w:r>
      <w:hyperlink r:id="rId11">
        <w:r>
          <w:t>Información Económica Financiera.</w:t>
        </w:r>
      </w:hyperlink>
      <w:r/>
    </w:p>
    <w:p>
      <w:r>
        <w:br w:type="page"/>
      </w:r>
    </w:p>
    <w:p>
      <w:pPr>
        <w:pStyle w:val="Heading1"/>
      </w:pPr>
      <w:r>
        <w:t>10. Administradores, directivos y retribuciones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00"/>
        <w:gridCol w:w="7100"/>
      </w:tblGrid>
      <w:tr>
        <w:trPr>
          <w:cantSplit/>
        </w:trPr>
        <w:tc>
          <w:tcPr>
            <w:tcW w:type="dxa" w:w="28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Dato</w:t>
            </w:r>
          </w:p>
        </w:tc>
        <w:tc>
          <w:tcPr>
            <w:tcW w:type="dxa" w:w="71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Información publicada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Nombre</w:t>
            </w:r>
          </w:p>
        </w:tc>
        <w:tc>
          <w:tcPr>
            <w:tcW w:type="dxa" w:w="7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Beatriz Salazar Hernández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Cargo</w:t>
            </w:r>
          </w:p>
        </w:tc>
        <w:tc>
          <w:tcPr>
            <w:tcW w:type="dxa" w:w="7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Presidenta de Asociación Canaria de Centros de Formación Profesional (ACEPRO)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Responsabilidad en transparencia</w:t>
            </w:r>
          </w:p>
        </w:tc>
        <w:tc>
          <w:tcPr>
            <w:tcW w:type="dxa" w:w="7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Beatriz Salazar Hernández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Retribución por los cargos de la Junta Directiva</w:t>
            </w:r>
          </w:p>
        </w:tc>
        <w:tc>
          <w:tcPr>
            <w:tcW w:type="dxa" w:w="7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Sin salario ni compensación económica por el desempeño del cargo. Funciones voluntarias.</w:t>
            </w:r>
          </w:p>
        </w:tc>
      </w:tr>
    </w:tbl>
    <w:p>
      <w:pPr>
        <w:spacing w:after="20"/>
      </w:pPr>
    </w:p>
    <w:p>
      <w:pPr/>
      <w:r>
        <w:t>Su trayectoria está vinculada a la formación y a la gestión empresarial desde 1981. Desarrolla funciones de dirección y supervisión, planificación de programas formativos, seguimiento de objetivos y asignación de recursos. Es diplomada en Ciencias Empresariales y cuenta con formación de máster en Dirección de Empresas de Formación y en Prevención de Riesgos Laborales. Su experiencia incluye la dirección de MICROSISTEMAS y la representación empresarial e institucional.</w:t>
      </w:r>
    </w:p>
    <w:p>
      <w:pPr/>
      <w:r>
        <w:t>De acuerdo con la información publicada, los miembros de la Junta Directiva ejercen sus funciones de forma voluntaria y ninguno percibe salario ni compensación económica por el desempeño de sus cargos directivos. Esta declaración se refiere al cargo y no se extiende a otras relaciones laborales o profesionales que no estén documentadas.</w:t>
      </w:r>
    </w:p>
    <w:p>
      <w:pPr/>
      <w:r>
        <w:t xml:space="preserve">La identificación y el perfil se toman del apartado publicado en 2026; la documentación consultada no contiene un historial de cambios de cargos durante 2025. Fuente: </w:t>
      </w:r>
      <w:hyperlink r:id="rId12">
        <w:r>
          <w:t>Administradores y directivos.</w:t>
        </w:r>
      </w:hyperlink>
      <w:r/>
    </w:p>
    <w:p>
      <w:pPr>
        <w:pStyle w:val="Heading1"/>
      </w:pPr>
      <w:r>
        <w:t>11. Accesibilidad del Portal de Transparencia</w:t>
      </w:r>
    </w:p>
    <w:p>
      <w:pPr/>
      <w:r>
        <w:t>El informe de partida recoge actuaciones para mejorar la estructura, navegación, presentación y comprensión de la información publicada. La entidad mantiene un proceso de mejora continua para detectar y corregir barreras de acceso. La disponibilidad de formatos alternativos favorece la consulta y la reutilización de los contenidos.</w:t>
      </w:r>
    </w:p>
    <w:p>
      <w:pPr/>
      <w:r>
        <w:t>Estas actuaciones no se presentan como una certificación técnica de accesibilidad ni como una acreditación de cumplimiento integral, al no acompañarse de una auditoría de accesibilidad en la documentación revisada.</w:t>
      </w:r>
    </w:p>
    <w:p>
      <w:pPr>
        <w:pStyle w:val="Heading1"/>
      </w:pPr>
      <w:r>
        <w:t>12. Integridad, prevención de la corrupción y canal interno de información</w:t>
      </w:r>
    </w:p>
    <w:p>
      <w:pPr/>
      <w:r>
        <w:t>La entidad ha creado una Política de Integridad, Prevención del Fraude y Anticorrupción y ha implantado un Canal Interno de Información, medidas que el informe de partida sitúa en el marco de la Ley 2/2023, de 20 de febrero.</w:t>
      </w:r>
    </w:p>
    <w:p>
      <w:pPr/>
      <w:r>
        <w:t>Al tratarse de medidas implantadas con posterioridad al ejercicio 2025, se recogen como mejoras posteriores al periodo evaluado. Complementan la transparencia de la organización y la prevención, detección y comunicación de posibles irregularidades.</w:t>
      </w:r>
    </w:p>
    <w:p>
      <w:r>
        <w:br w:type="page"/>
      </w:r>
    </w:p>
    <w:p>
      <w:pPr>
        <w:pStyle w:val="Heading1"/>
      </w:pPr>
      <w:r>
        <w:t>13. Antecedente: evaluación del Comisionado de Transparencia</w:t>
      </w:r>
    </w:p>
    <w:p>
      <w:pPr/>
      <w:r>
        <w:t>Como antecedente de referencia, el informe de partida recoge los siguientes resultados de la evaluación de entidades privadas correspondiente a 2024: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800"/>
        <w:gridCol w:w="2100"/>
      </w:tblGrid>
      <w:tr>
        <w:trPr>
          <w:cantSplit/>
        </w:trPr>
        <w:tc>
          <w:tcPr>
            <w:tcW w:type="dxa" w:w="78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Indicador</w:t>
            </w:r>
          </w:p>
        </w:tc>
        <w:tc>
          <w:tcPr>
            <w:tcW w:type="dxa" w:w="21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Resultado</w:t>
            </w:r>
          </w:p>
        </w:tc>
      </w:tr>
      <w:tr>
        <w:trPr>
          <w:cantSplit/>
        </w:trPr>
        <w:tc>
          <w:tcPr>
            <w:tcW w:type="dxa" w:w="7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Índice de Transparencia de Canarias (ITCanarias)</w:t>
            </w:r>
          </w:p>
        </w:tc>
        <w:tc>
          <w:tcPr>
            <w:tcW w:type="dxa" w:w="2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7,47 / 10</w:t>
            </w:r>
          </w:p>
        </w:tc>
      </w:tr>
      <w:tr>
        <w:trPr>
          <w:cantSplit/>
        </w:trPr>
        <w:tc>
          <w:tcPr>
            <w:tcW w:type="dxa" w:w="7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Indicador de Cumplimiento de la Publicidad Activa (ICPA)</w:t>
            </w:r>
          </w:p>
        </w:tc>
        <w:tc>
          <w:tcPr>
            <w:tcW w:type="dxa" w:w="2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6,77 / 10</w:t>
            </w:r>
          </w:p>
        </w:tc>
      </w:tr>
      <w:tr>
        <w:trPr>
          <w:cantSplit/>
        </w:trPr>
        <w:tc>
          <w:tcPr>
            <w:tcW w:type="dxa" w:w="7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Indicador de Transparencia Voluntaria (ITV)</w:t>
            </w:r>
          </w:p>
        </w:tc>
        <w:tc>
          <w:tcPr>
            <w:tcW w:type="dxa" w:w="2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0,70 / 1</w:t>
            </w:r>
          </w:p>
        </w:tc>
      </w:tr>
    </w:tbl>
    <w:p>
      <w:pPr>
        <w:spacing w:after="20"/>
      </w:pPr>
    </w:p>
    <w:p>
      <w:pPr/>
      <w:r>
        <w:t>Referencia citada en el documento de partida: informe definitivo del Comisionado de Transparencia y Acceso a la Información Pública de Canarias, emitido el 9 de abril de 2026.</w:t>
      </w:r>
    </w:p>
    <w:p>
      <w:pPr/>
      <w:r>
        <w:t>Las observaciones de esa evaluación orientan la mejora de los servicios y procedimientos, la información sobre administradores y directivos, la información económica y el uso de formatos abiertos. Se mantiene la publicación sobre contratos, convenios y ayudas y subvenciones.</w:t>
      </w:r>
    </w:p>
    <w:p>
      <w:pPr>
        <w:pStyle w:val="Heading1"/>
      </w:pPr>
      <w:r>
        <w:t>14. Objetivos de mejora y seguimiento</w:t>
      </w:r>
    </w:p>
    <w:p>
      <w:pPr/>
      <w:r>
        <w:t>• Mantener actualizadas las fichas de ayudas, distinguiendo año de convocatoria, resolución y cobro efectivo.</w:t>
      </w:r>
    </w:p>
    <w:p>
      <w:pPr/>
      <w:r>
        <w:t>• Revisar la concordancia entre el balance y la cuenta de Pérdidas y Ganancias y completar la documentación económica con la memoria y la información de aprobación cuando se disponga de ellas.</w:t>
      </w:r>
    </w:p>
    <w:p>
      <w:pPr/>
      <w:r>
        <w:t>•Mantener actualizados los cargos, perfiles y retribuciones y facilitar su referencia temporal.</w:t>
      </w:r>
    </w:p>
    <w:p>
      <w:pPr/>
      <w:r>
        <w:t>•Continuar mejorando la accesibilidad, la claridad de los contenidos y la navegación del portal.</w:t>
      </w:r>
    </w:p>
    <w:p>
      <w:pPr/>
      <w:r>
        <w:t>•Mantener los formatos abiertos y reutilizables y comprobar periódicamente los enlaces de descarga.</w:t>
      </w:r>
    </w:p>
    <w:p>
      <w:pPr/>
      <w:r>
        <w:t>• Mantener visibles las fechas de actualización y consolidar los mecanismos de integridad y el Canal Interno de Información.</w:t>
      </w:r>
    </w:p>
    <w:p>
      <w:pPr>
        <w:pStyle w:val="Heading1"/>
      </w:pPr>
      <w:r>
        <w:t>15. Conclusiones</w:t>
      </w:r>
    </w:p>
    <w:p>
      <w:pPr/>
      <w:r>
        <w:t>Durante el ejercicio 2025, de acuerdo con la información del informe de partida, la entidad mantuvo operativo su Portal de Transparencia, no recibió solicitudes de acceso a la información pública y no formalizó contratos ni convenios con Administraciones Públicas.</w:t>
      </w:r>
    </w:p>
    <w:p>
      <w:pPr/>
      <w:r>
        <w:t>Esta versión incorpora la relación publicada de ayudas vinculadas a la programación 2025, los estados contables de 2025 y la información disponible sobre presidencia y retribuciones.</w:t>
      </w:r>
    </w:p>
    <w:p>
      <w:pPr/>
      <w:r>
        <w:t>Fuentes: informe inicial aportado por la entidad; hojas BSS y PYG 2025 fechadas el 25/09/2026; fichas, resoluciones y convocatoria enlazadas en el portal; apartado de administradores y directivos.</w:t>
      </w:r>
    </w:p>
    <w:sectPr w:rsidR="00FC693F" w:rsidRPr="0006063C" w:rsidSect="00034616">
      <w:pgSz w:w="11906" w:h="16838"/>
      <w:pgMar w:top="860" w:right="1000" w:bottom="96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cepro.es/portal-transparencia/" TargetMode="External"/><Relationship Id="rId10" Type="http://schemas.openxmlformats.org/officeDocument/2006/relationships/hyperlink" Target="https://acepro.es/portal-transparencia/contratos-y-convenios/" TargetMode="External"/><Relationship Id="rId11" Type="http://schemas.openxmlformats.org/officeDocument/2006/relationships/hyperlink" Target="https://acepro.es/portal-transparencia/informacion-economica-financiera/" TargetMode="External"/><Relationship Id="rId12" Type="http://schemas.openxmlformats.org/officeDocument/2006/relationships/hyperlink" Target="https://acepro.es/portal-transparencia/administradores-y-directiv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anual de transparencia 2025 - ACEPRO</dc:title>
  <dc:subject/>
  <dc:creator>ACEPRO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